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37" w:rsidRPr="00955943" w:rsidRDefault="006A1B37" w:rsidP="006A1B37">
      <w:pPr>
        <w:pStyle w:val="1"/>
        <w:pageBreakBefore/>
        <w:rPr>
          <w:sz w:val="48"/>
          <w:szCs w:val="48"/>
        </w:rPr>
      </w:pPr>
      <w:r w:rsidRPr="00955943">
        <w:rPr>
          <w:sz w:val="48"/>
          <w:szCs w:val="48"/>
        </w:rPr>
        <w:t>Управление введением ФГОС</w:t>
      </w:r>
    </w:p>
    <w:p w:rsidR="006A1B37" w:rsidRDefault="006A1B37" w:rsidP="006A1B37">
      <w:pPr>
        <w:pStyle w:val="2"/>
      </w:pPr>
      <w:bookmarkStart w:id="0" w:name="_Toc382840226"/>
      <w:r w:rsidRPr="009519A3">
        <w:t xml:space="preserve">Введение Федеральных </w:t>
      </w:r>
      <w:r>
        <w:t>г</w:t>
      </w:r>
      <w:r w:rsidRPr="009519A3">
        <w:t xml:space="preserve">осударственных образовательных стандартов основного общего образования как фактор профессионального развития </w:t>
      </w:r>
      <w:r>
        <w:t>руководителей образовательных организаций</w:t>
      </w:r>
      <w:bookmarkEnd w:id="0"/>
    </w:p>
    <w:p w:rsidR="006A1B37" w:rsidRDefault="006A1B37" w:rsidP="006A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B37" w:rsidRPr="0062549E" w:rsidRDefault="006A1B37" w:rsidP="006A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49E">
        <w:rPr>
          <w:rFonts w:ascii="Times New Roman" w:hAnsi="Times New Roman" w:cs="Times New Roman"/>
          <w:sz w:val="24"/>
          <w:szCs w:val="24"/>
        </w:rPr>
        <w:t>Алмазова Е.Ю., заместитель директора</w:t>
      </w:r>
    </w:p>
    <w:p w:rsidR="006A1B37" w:rsidRPr="0062549E" w:rsidRDefault="006A1B37" w:rsidP="006A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49E">
        <w:rPr>
          <w:rFonts w:ascii="Times New Roman" w:hAnsi="Times New Roman" w:cs="Times New Roman"/>
          <w:sz w:val="24"/>
          <w:szCs w:val="24"/>
        </w:rPr>
        <w:t xml:space="preserve"> по инновационной деятельности ГБОУ ИМЦ</w:t>
      </w:r>
    </w:p>
    <w:p w:rsidR="006A1B37" w:rsidRPr="0062549E" w:rsidRDefault="006A1B37" w:rsidP="006A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49E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</w:p>
    <w:p w:rsidR="006A1B37" w:rsidRPr="0062549E" w:rsidRDefault="006A1B37" w:rsidP="006A1B3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1B37" w:rsidRPr="00965401" w:rsidRDefault="006A1B37" w:rsidP="006A1B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с</w:t>
      </w:r>
      <w:r w:rsidRPr="00965401">
        <w:rPr>
          <w:rFonts w:ascii="Times New Roman" w:hAnsi="Times New Roman" w:cs="Times New Roman"/>
          <w:sz w:val="28"/>
          <w:szCs w:val="28"/>
        </w:rPr>
        <w:t xml:space="preserve">татья посвящена вопросам профессионального развития руководителей образовательных организаций и педагогических работников, которое рассматривается в контексте перехода на ФГОС ООО.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5401">
        <w:rPr>
          <w:rFonts w:ascii="Times New Roman" w:hAnsi="Times New Roman" w:cs="Times New Roman"/>
          <w:sz w:val="28"/>
          <w:szCs w:val="28"/>
        </w:rPr>
        <w:t>одчеркивается необходимость уровневого повышения квалификации и отмечается значимость формирования современного профессионального мировоззрения и высокого уровня мотивации для осуществления изменений в педагогическом процессе в условиях системных инноваций.</w:t>
      </w:r>
    </w:p>
    <w:p w:rsidR="006A1B37" w:rsidRPr="0079736D" w:rsidRDefault="006A1B37" w:rsidP="006A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 xml:space="preserve">Введение Федерального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736D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 требует от педагогических</w:t>
      </w:r>
      <w:r w:rsidRPr="0079736D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 xml:space="preserve">тников </w:t>
      </w:r>
      <w:r w:rsidRPr="0079736D">
        <w:rPr>
          <w:rFonts w:ascii="Times New Roman" w:hAnsi="Times New Roman" w:cs="Times New Roman"/>
          <w:sz w:val="28"/>
          <w:szCs w:val="28"/>
        </w:rPr>
        <w:t>оперативного изменения педагогической позиции, профессионального мировоззрения, высокого уровня мотивации.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9736D">
        <w:rPr>
          <w:rFonts w:ascii="Times New Roman" w:hAnsi="Times New Roman" w:cs="Times New Roman"/>
          <w:sz w:val="28"/>
          <w:szCs w:val="28"/>
        </w:rPr>
        <w:t xml:space="preserve">еобходимо отметить, </w:t>
      </w:r>
      <w:r>
        <w:rPr>
          <w:rFonts w:ascii="Times New Roman" w:hAnsi="Times New Roman" w:cs="Times New Roman"/>
          <w:sz w:val="28"/>
          <w:szCs w:val="28"/>
        </w:rPr>
        <w:t>что осознание</w:t>
      </w:r>
      <w:r w:rsidRPr="0079736D">
        <w:rPr>
          <w:rFonts w:ascii="Times New Roman" w:hAnsi="Times New Roman" w:cs="Times New Roman"/>
          <w:sz w:val="28"/>
          <w:szCs w:val="28"/>
        </w:rPr>
        <w:t xml:space="preserve"> перемен станет отражением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уровня развитости </w:t>
      </w:r>
      <w:r w:rsidRPr="0079736D">
        <w:rPr>
          <w:rFonts w:ascii="Times New Roman" w:hAnsi="Times New Roman" w:cs="Times New Roman"/>
          <w:sz w:val="28"/>
          <w:szCs w:val="28"/>
        </w:rPr>
        <w:t>рефлексивного компонента личност</w:t>
      </w:r>
      <w:r>
        <w:rPr>
          <w:rFonts w:ascii="Times New Roman" w:hAnsi="Times New Roman" w:cs="Times New Roman"/>
          <w:sz w:val="28"/>
          <w:szCs w:val="28"/>
        </w:rPr>
        <w:t>ных компетентностей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>. А р</w:t>
      </w:r>
      <w:r w:rsidRPr="0079736D">
        <w:rPr>
          <w:rFonts w:ascii="Times New Roman" w:hAnsi="Times New Roman" w:cs="Times New Roman"/>
          <w:sz w:val="28"/>
          <w:szCs w:val="28"/>
        </w:rPr>
        <w:t>азвитие личностных и профессиональных компетентностей руководителя образовательной организации должно опережат</w:t>
      </w:r>
      <w:r>
        <w:rPr>
          <w:rFonts w:ascii="Times New Roman" w:hAnsi="Times New Roman" w:cs="Times New Roman"/>
          <w:sz w:val="28"/>
          <w:szCs w:val="28"/>
        </w:rPr>
        <w:t xml:space="preserve">ь и </w:t>
      </w:r>
      <w:r w:rsidRPr="0079736D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 xml:space="preserve">ень педагогического коллектива, </w:t>
      </w:r>
      <w:r w:rsidRPr="007973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уровень социума. Таким образом</w:t>
      </w:r>
      <w:r w:rsidRPr="0079736D">
        <w:rPr>
          <w:rFonts w:ascii="Times New Roman" w:hAnsi="Times New Roman" w:cs="Times New Roman"/>
          <w:sz w:val="28"/>
          <w:szCs w:val="28"/>
        </w:rPr>
        <w:t>, введение ФГОС становится решающим фактором профессионального развития руководителя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всех педагогических работников</w:t>
      </w:r>
      <w:r w:rsidRPr="0079736D">
        <w:rPr>
          <w:rFonts w:ascii="Times New Roman" w:hAnsi="Times New Roman" w:cs="Times New Roman"/>
          <w:sz w:val="28"/>
          <w:szCs w:val="28"/>
        </w:rPr>
        <w:t>.</w:t>
      </w:r>
    </w:p>
    <w:p w:rsidR="006A1B37" w:rsidRPr="0079736D" w:rsidRDefault="006A1B37" w:rsidP="006A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Под профессиональным развитием мы понимаем процесс целенаправленной реализации стратегии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79736D">
        <w:rPr>
          <w:rFonts w:ascii="Times New Roman" w:hAnsi="Times New Roman" w:cs="Times New Roman"/>
          <w:sz w:val="28"/>
          <w:szCs w:val="28"/>
        </w:rPr>
        <w:t xml:space="preserve">, направленный на формирование или развитие определенных </w:t>
      </w:r>
      <w:r w:rsidRPr="0079736D">
        <w:rPr>
          <w:rFonts w:ascii="Times New Roman" w:hAnsi="Times New Roman" w:cs="Times New Roman"/>
          <w:sz w:val="28"/>
          <w:szCs w:val="28"/>
        </w:rPr>
        <w:lastRenderedPageBreak/>
        <w:t>компетентностей. Профессиональное развитие обеспечивает соответствие и рост потенциала качественных характеристик руководителей текущим и перспективным требованиям, которые позволят обеспечить готовность решать сложные задачи по повышению качества образования в соответствии с новыми образовательными стандартами.</w:t>
      </w:r>
    </w:p>
    <w:p w:rsidR="006A1B37" w:rsidRPr="0079736D" w:rsidRDefault="006A1B37" w:rsidP="006A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Наиболее уязвимой стороной профессионального развития всех педагогических работников, 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6D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36D">
        <w:rPr>
          <w:rFonts w:ascii="Times New Roman" w:hAnsi="Times New Roman" w:cs="Times New Roman"/>
          <w:sz w:val="28"/>
          <w:szCs w:val="28"/>
        </w:rPr>
        <w:t xml:space="preserve"> при введении ФГОС нам представляется формирование философской позиции, методологических, коммуникативных, методических компетентностей, которые должны проявляться в решении совершенно реаль</w:t>
      </w:r>
      <w:r>
        <w:rPr>
          <w:rFonts w:ascii="Times New Roman" w:hAnsi="Times New Roman" w:cs="Times New Roman"/>
          <w:sz w:val="28"/>
          <w:szCs w:val="28"/>
        </w:rPr>
        <w:t xml:space="preserve">ных задач, возникающих сегодня в </w:t>
      </w:r>
      <w:r w:rsidRPr="0079736D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6A1B37" w:rsidRPr="0079736D" w:rsidRDefault="006A1B37" w:rsidP="006A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Обратим внимание на то, что соответствие кадрового обеспечения требованиям ФГОС ООО является одним из критериев готовности к введению ФГО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736D">
        <w:rPr>
          <w:rFonts w:ascii="Times New Roman" w:hAnsi="Times New Roman" w:cs="Times New Roman"/>
          <w:sz w:val="28"/>
          <w:szCs w:val="28"/>
        </w:rPr>
        <w:t xml:space="preserve"> ООО. Кроме того, отражением деятельности руководителя являются соответствие нормативной базы ОО требованиям ФГОС ООО, организационно-методического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9736D">
        <w:rPr>
          <w:rFonts w:ascii="Times New Roman" w:hAnsi="Times New Roman" w:cs="Times New Roman"/>
          <w:sz w:val="28"/>
          <w:szCs w:val="28"/>
        </w:rPr>
        <w:t xml:space="preserve"> требованиям ФГОС ООО. Следовательно, уровень профессионального развития руководителя во многом определяет уровень готовности образовательной организации к введению ФГОС ООО.</w:t>
      </w:r>
    </w:p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В соответствии с принципом «зоны ближайшего развития» Л.С.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736D">
        <w:rPr>
          <w:rFonts w:ascii="Times New Roman" w:hAnsi="Times New Roman" w:cs="Times New Roman"/>
          <w:sz w:val="28"/>
          <w:szCs w:val="28"/>
        </w:rPr>
        <w:t>Выготского деятельность руководителя предполагает:</w:t>
      </w:r>
    </w:p>
    <w:p w:rsidR="006A1B37" w:rsidRPr="0079736D" w:rsidRDefault="006A1B37" w:rsidP="006A1B3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9736D">
        <w:rPr>
          <w:rFonts w:ascii="Times New Roman" w:hAnsi="Times New Roman"/>
          <w:sz w:val="28"/>
          <w:szCs w:val="28"/>
        </w:rPr>
        <w:t>зучение профессиональных трудностей, выявление проблем в деятельности педагогов при внедрении ФГОС</w:t>
      </w:r>
      <w:r>
        <w:rPr>
          <w:rFonts w:ascii="Times New Roman" w:hAnsi="Times New Roman"/>
          <w:sz w:val="28"/>
          <w:szCs w:val="28"/>
        </w:rPr>
        <w:t xml:space="preserve"> ООО;</w:t>
      </w:r>
    </w:p>
    <w:p w:rsidR="006A1B37" w:rsidRPr="0079736D" w:rsidRDefault="006A1B37" w:rsidP="006A1B3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9736D">
        <w:rPr>
          <w:rFonts w:ascii="Times New Roman" w:hAnsi="Times New Roman"/>
          <w:sz w:val="28"/>
          <w:szCs w:val="28"/>
        </w:rPr>
        <w:t>ктуализацию необходимых для профессионального роста знаний и умений</w:t>
      </w:r>
      <w:r>
        <w:rPr>
          <w:rFonts w:ascii="Times New Roman" w:hAnsi="Times New Roman"/>
          <w:sz w:val="28"/>
          <w:szCs w:val="28"/>
        </w:rPr>
        <w:t>;</w:t>
      </w:r>
    </w:p>
    <w:p w:rsidR="006A1B37" w:rsidRPr="0079736D" w:rsidRDefault="006A1B37" w:rsidP="006A1B3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736D">
        <w:rPr>
          <w:rFonts w:ascii="Times New Roman" w:hAnsi="Times New Roman"/>
          <w:sz w:val="28"/>
          <w:szCs w:val="28"/>
        </w:rPr>
        <w:t>пределение индивидуальных задач повышения педагогической и менеджерской квалификации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6A1B37" w:rsidRPr="0079736D" w:rsidRDefault="006A1B37" w:rsidP="006A1B3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9736D">
        <w:rPr>
          <w:rFonts w:ascii="Times New Roman" w:hAnsi="Times New Roman"/>
          <w:sz w:val="28"/>
          <w:szCs w:val="28"/>
        </w:rPr>
        <w:t>оставление программы профессионального роста и педагогов, и руководителей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6A1B37" w:rsidRPr="0079736D" w:rsidRDefault="006A1B37" w:rsidP="006A1B3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79736D">
        <w:rPr>
          <w:rFonts w:ascii="Times New Roman" w:hAnsi="Times New Roman"/>
          <w:sz w:val="28"/>
          <w:szCs w:val="28"/>
        </w:rPr>
        <w:t>истематическую оценку решения поставленных задач и реализации программы, их корректировку.</w:t>
      </w:r>
    </w:p>
    <w:p w:rsidR="006A1B37" w:rsidRPr="0079736D" w:rsidRDefault="006A1B37" w:rsidP="006A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Все эти мероприятия позволят оперативно реагировать на запросы педагогического коллектива по актуальным педагогическим проблемам.</w:t>
      </w:r>
    </w:p>
    <w:p w:rsidR="006A1B37" w:rsidRPr="0079736D" w:rsidRDefault="006A1B37" w:rsidP="006A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 xml:space="preserve">Цель профессионального развития руководителя на этапе введения ФГОС ООО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36D">
        <w:rPr>
          <w:rFonts w:ascii="Times New Roman" w:hAnsi="Times New Roman" w:cs="Times New Roman"/>
          <w:sz w:val="28"/>
          <w:szCs w:val="28"/>
        </w:rPr>
        <w:t xml:space="preserve"> построение себя как профессионала, осознанное управление своим профессиональны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736D">
        <w:rPr>
          <w:rFonts w:ascii="Times New Roman" w:hAnsi="Times New Roman" w:cs="Times New Roman"/>
          <w:sz w:val="28"/>
          <w:szCs w:val="28"/>
        </w:rPr>
        <w:t xml:space="preserve"> развитием, профессиональной деятельностью. А результат профессионального развития – отрефлексированная практика, культурное осознание и освоение новых процессов, развитие профессиональны</w:t>
      </w:r>
      <w:r>
        <w:rPr>
          <w:rFonts w:ascii="Times New Roman" w:hAnsi="Times New Roman" w:cs="Times New Roman"/>
          <w:sz w:val="28"/>
          <w:szCs w:val="28"/>
        </w:rPr>
        <w:t>х компетенций</w:t>
      </w:r>
      <w:r w:rsidRPr="0079736D">
        <w:rPr>
          <w:rFonts w:ascii="Times New Roman" w:hAnsi="Times New Roman" w:cs="Times New Roman"/>
          <w:sz w:val="28"/>
          <w:szCs w:val="28"/>
        </w:rPr>
        <w:t xml:space="preserve"> и внедрение их в профессиональную деятельность, что в итоге приведет к новому уровню сформированн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79736D">
        <w:rPr>
          <w:rFonts w:ascii="Times New Roman" w:hAnsi="Times New Roman" w:cs="Times New Roman"/>
          <w:sz w:val="28"/>
          <w:szCs w:val="28"/>
        </w:rPr>
        <w:t xml:space="preserve"> профессиональных компетентностей.</w:t>
      </w:r>
    </w:p>
    <w:p w:rsidR="006A1B37" w:rsidRPr="0079736D" w:rsidRDefault="006A1B37" w:rsidP="006A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профессионального развития руководителя приведет к изменению средообразующего подхода к организации деятельности всего педагогического коллектива, </w:t>
      </w:r>
      <w:proofErr w:type="gramStart"/>
      <w:r w:rsidRPr="007973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736D">
        <w:rPr>
          <w:rFonts w:ascii="Times New Roman" w:hAnsi="Times New Roman" w:cs="Times New Roman"/>
          <w:sz w:val="28"/>
          <w:szCs w:val="28"/>
        </w:rPr>
        <w:t xml:space="preserve"> следовательно, к повышению уровня готовности образовательной ор</w:t>
      </w:r>
      <w:r>
        <w:rPr>
          <w:rFonts w:ascii="Times New Roman" w:hAnsi="Times New Roman" w:cs="Times New Roman"/>
          <w:sz w:val="28"/>
          <w:szCs w:val="28"/>
        </w:rPr>
        <w:t>ганизации к переходу к ФГОС ООО.</w:t>
      </w:r>
    </w:p>
    <w:p w:rsidR="006A1B37" w:rsidRPr="0079736D" w:rsidRDefault="006A1B37" w:rsidP="006A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 xml:space="preserve">Руководитель должен отказаться от субъектно-объектного типа отношений внутри коллектива, при котором учитель воспринимает себя только как исполнителя. Важно, чтобы при подготовке к введению ФГОС ООО осуществлялось совместное проектирование преобразований, постоянная рефлексия практической деятельности. Еще одно принципиальное изменение, которое происходит в деятельности руководителя,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36D">
        <w:rPr>
          <w:rFonts w:ascii="Times New Roman" w:hAnsi="Times New Roman" w:cs="Times New Roman"/>
          <w:sz w:val="28"/>
          <w:szCs w:val="28"/>
        </w:rPr>
        <w:t xml:space="preserve"> переход к системному проектированию преобразовательных процессов. При этом важно учитывать разнородность педагогической среды, особенно в вопросах профессионального раз</w:t>
      </w:r>
      <w:r>
        <w:rPr>
          <w:rFonts w:ascii="Times New Roman" w:hAnsi="Times New Roman" w:cs="Times New Roman"/>
          <w:sz w:val="28"/>
          <w:szCs w:val="28"/>
        </w:rPr>
        <w:t>вития, повышения квалификации,</w:t>
      </w:r>
      <w:r w:rsidRPr="0079736D">
        <w:rPr>
          <w:rFonts w:ascii="Times New Roman" w:hAnsi="Times New Roman" w:cs="Times New Roman"/>
          <w:sz w:val="28"/>
          <w:szCs w:val="28"/>
        </w:rPr>
        <w:t xml:space="preserve"> готовности к преемственности и слаженности действий.</w:t>
      </w:r>
    </w:p>
    <w:p w:rsidR="006A1B37" w:rsidRDefault="006A1B37" w:rsidP="006A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Для организации повышения квалификации в процессе подготовки к пере</w:t>
      </w:r>
      <w:r>
        <w:rPr>
          <w:rFonts w:ascii="Times New Roman" w:hAnsi="Times New Roman" w:cs="Times New Roman"/>
          <w:sz w:val="28"/>
          <w:szCs w:val="28"/>
        </w:rPr>
        <w:t>ходу к ФГОС ООО предлагается следующая форма</w:t>
      </w:r>
      <w:r w:rsidRPr="0079736D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 w:rsidRPr="0079736D">
        <w:rPr>
          <w:rFonts w:ascii="Times New Roman" w:hAnsi="Times New Roman" w:cs="Times New Roman"/>
          <w:sz w:val="28"/>
          <w:szCs w:val="28"/>
        </w:rPr>
        <w:lastRenderedPageBreak/>
        <w:t>программы профессионального развития всех чл</w:t>
      </w:r>
      <w:r>
        <w:rPr>
          <w:rFonts w:ascii="Times New Roman" w:hAnsi="Times New Roman" w:cs="Times New Roman"/>
          <w:sz w:val="28"/>
          <w:szCs w:val="28"/>
        </w:rPr>
        <w:t>енов педагогического коллектива.</w:t>
      </w:r>
    </w:p>
    <w:tbl>
      <w:tblPr>
        <w:tblStyle w:val="a7"/>
        <w:tblW w:w="0" w:type="auto"/>
        <w:tblLook w:val="04A0"/>
      </w:tblPr>
      <w:tblGrid>
        <w:gridCol w:w="772"/>
        <w:gridCol w:w="2535"/>
        <w:gridCol w:w="1529"/>
        <w:gridCol w:w="1276"/>
        <w:gridCol w:w="1784"/>
        <w:gridCol w:w="1675"/>
      </w:tblGrid>
      <w:tr w:rsidR="006A1B37" w:rsidRPr="003868EC" w:rsidTr="00D90B35">
        <w:tc>
          <w:tcPr>
            <w:tcW w:w="817" w:type="dxa"/>
          </w:tcPr>
          <w:p w:rsidR="006A1B37" w:rsidRPr="003A72EE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7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72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1" w:type="dxa"/>
          </w:tcPr>
          <w:p w:rsidR="006A1B37" w:rsidRPr="003A72EE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9" w:type="dxa"/>
          </w:tcPr>
          <w:p w:rsidR="006A1B37" w:rsidRPr="003A72EE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E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Тематика, содержание</w:t>
            </w:r>
          </w:p>
        </w:tc>
        <w:tc>
          <w:tcPr>
            <w:tcW w:w="1352" w:type="dxa"/>
          </w:tcPr>
          <w:p w:rsidR="006A1B37" w:rsidRPr="003A72EE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61" w:type="dxa"/>
          </w:tcPr>
          <w:p w:rsidR="006A1B37" w:rsidRPr="003A72EE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591" w:type="dxa"/>
          </w:tcPr>
          <w:p w:rsidR="006A1B37" w:rsidRPr="003A72EE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EE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6A1B37" w:rsidRPr="003868EC" w:rsidTr="00D90B35">
        <w:tc>
          <w:tcPr>
            <w:tcW w:w="817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8EC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539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37" w:rsidRPr="003868EC" w:rsidTr="00D90B35">
        <w:tc>
          <w:tcPr>
            <w:tcW w:w="817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8EC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39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37" w:rsidRPr="003868EC" w:rsidTr="00D90B35">
        <w:tc>
          <w:tcPr>
            <w:tcW w:w="817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8EC">
              <w:rPr>
                <w:rFonts w:ascii="Times New Roman" w:hAnsi="Times New Roman" w:cs="Times New Roman"/>
                <w:sz w:val="24"/>
                <w:szCs w:val="24"/>
              </w:rPr>
              <w:t>Тематические семинары</w:t>
            </w:r>
          </w:p>
        </w:tc>
        <w:tc>
          <w:tcPr>
            <w:tcW w:w="1539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37" w:rsidRPr="003868EC" w:rsidTr="00D90B35">
        <w:tc>
          <w:tcPr>
            <w:tcW w:w="817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8EC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1539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37" w:rsidRPr="003868EC" w:rsidTr="00D90B35">
        <w:tc>
          <w:tcPr>
            <w:tcW w:w="817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8EC">
              <w:rPr>
                <w:rFonts w:ascii="Times New Roman" w:hAnsi="Times New Roman" w:cs="Times New Roman"/>
                <w:sz w:val="24"/>
                <w:szCs w:val="24"/>
              </w:rPr>
              <w:t>Участие в работе профессиональных объединений</w:t>
            </w:r>
          </w:p>
        </w:tc>
        <w:tc>
          <w:tcPr>
            <w:tcW w:w="1539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37" w:rsidRPr="003868EC" w:rsidTr="00D90B35">
        <w:tc>
          <w:tcPr>
            <w:tcW w:w="817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8EC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539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37" w:rsidRPr="003868EC" w:rsidTr="00D90B35">
        <w:tc>
          <w:tcPr>
            <w:tcW w:w="817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8EC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539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37" w:rsidRPr="003868EC" w:rsidTr="00D90B35">
        <w:tc>
          <w:tcPr>
            <w:tcW w:w="817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8E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39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A1B37" w:rsidRPr="003868EC" w:rsidRDefault="006A1B37" w:rsidP="00D90B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Наличие таких программ позволяет видеть соотнесенность маршрутов профессионального развития руководителя и всех педагогических работников. По итогам анализа программ можно выявить уровень готовности к введению ФГОС.</w:t>
      </w:r>
    </w:p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Подготовка к реализации стандартов осуществляется на трех уровнях:</w:t>
      </w:r>
    </w:p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EE">
        <w:rPr>
          <w:rFonts w:ascii="Times New Roman" w:hAnsi="Times New Roman" w:cs="Times New Roman"/>
          <w:i/>
          <w:sz w:val="28"/>
          <w:szCs w:val="28"/>
        </w:rPr>
        <w:t>Ознакомительном.</w:t>
      </w:r>
      <w:r w:rsidRPr="00797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36D">
        <w:rPr>
          <w:rFonts w:ascii="Times New Roman" w:hAnsi="Times New Roman" w:cs="Times New Roman"/>
          <w:sz w:val="28"/>
          <w:szCs w:val="28"/>
        </w:rPr>
        <w:t>На этом уровне в результате курсовой подготовки, посещения тематических семинаров приходит понимание и принятие таких ценностей, как: изменение функции руководителя от создающего условия для функционирования образовательной организации к обеспечивающему процессы развития через внедрение инноваций системного уровня; изменение функций педагога от транслятора знаний к сопровождающему познавательные процессы в деятельности учащихся.</w:t>
      </w:r>
      <w:proofErr w:type="gramEnd"/>
      <w:r w:rsidRPr="0079736D">
        <w:rPr>
          <w:rFonts w:ascii="Times New Roman" w:hAnsi="Times New Roman" w:cs="Times New Roman"/>
          <w:sz w:val="28"/>
          <w:szCs w:val="28"/>
        </w:rPr>
        <w:t xml:space="preserve"> Именно на этом этапе должно произойти изменение философской позиции, совершенствование рефлексивных компетентностей педагогов.</w:t>
      </w:r>
    </w:p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A72EE">
        <w:rPr>
          <w:rFonts w:ascii="Times New Roman" w:hAnsi="Times New Roman" w:cs="Times New Roman"/>
          <w:i/>
          <w:sz w:val="28"/>
          <w:szCs w:val="28"/>
        </w:rPr>
        <w:t>Базовом.</w:t>
      </w:r>
      <w:r w:rsidRPr="0079736D">
        <w:rPr>
          <w:rFonts w:ascii="Times New Roman" w:hAnsi="Times New Roman" w:cs="Times New Roman"/>
          <w:sz w:val="28"/>
          <w:szCs w:val="28"/>
        </w:rPr>
        <w:t xml:space="preserve"> На этом уровне в результате посещения тематических семинаров, практикумов, мастер-классов должны быть сформированы компетентности, предполагающие действия по образцу, по аналогии.</w:t>
      </w:r>
    </w:p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 xml:space="preserve">3. </w:t>
      </w:r>
      <w:r w:rsidRPr="003A72EE">
        <w:rPr>
          <w:rFonts w:ascii="Times New Roman" w:hAnsi="Times New Roman" w:cs="Times New Roman"/>
          <w:i/>
          <w:sz w:val="28"/>
          <w:szCs w:val="28"/>
        </w:rPr>
        <w:t>Продвинутом.</w:t>
      </w:r>
      <w:r w:rsidRPr="0079736D">
        <w:rPr>
          <w:rFonts w:ascii="Times New Roman" w:hAnsi="Times New Roman" w:cs="Times New Roman"/>
          <w:sz w:val="28"/>
          <w:szCs w:val="28"/>
        </w:rPr>
        <w:t xml:space="preserve"> На этом уровне и руководитель, и педагогические работники приобретают способности быть тьюторами, сопровождающими деятельность своих коллег.</w:t>
      </w:r>
    </w:p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Важно понимать, что внутри одного педагогического коллектива (или в рамках районной системы образования)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находя</w:t>
      </w:r>
      <w:r w:rsidRPr="0079736D">
        <w:rPr>
          <w:rFonts w:ascii="Times New Roman" w:hAnsi="Times New Roman" w:cs="Times New Roman"/>
          <w:sz w:val="28"/>
          <w:szCs w:val="28"/>
        </w:rPr>
        <w:t>тся на разн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9736D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9736D">
        <w:rPr>
          <w:rFonts w:ascii="Times New Roman" w:hAnsi="Times New Roman" w:cs="Times New Roman"/>
          <w:sz w:val="28"/>
          <w:szCs w:val="28"/>
        </w:rPr>
        <w:t xml:space="preserve"> подготовки к реализации стандартов. Задача руководителя осуществлять постоянный мониторинг уровня готовности педагогических работников и проводить коррекцию индивидуальных программ профессионального развития или программы внутрифирменного повышения квалификации. Для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79736D">
        <w:rPr>
          <w:rFonts w:ascii="Times New Roman" w:hAnsi="Times New Roman" w:cs="Times New Roman"/>
          <w:sz w:val="28"/>
          <w:szCs w:val="28"/>
        </w:rPr>
        <w:t xml:space="preserve"> необходимо проводить диагностику профессиональных затруднений и образовательных потребностей, организовывать работу </w:t>
      </w:r>
      <w:r>
        <w:rPr>
          <w:rFonts w:ascii="Times New Roman" w:hAnsi="Times New Roman" w:cs="Times New Roman"/>
          <w:sz w:val="28"/>
          <w:szCs w:val="28"/>
        </w:rPr>
        <w:t>разно</w:t>
      </w:r>
      <w:r w:rsidRPr="0079736D">
        <w:rPr>
          <w:rFonts w:ascii="Times New Roman" w:hAnsi="Times New Roman" w:cs="Times New Roman"/>
          <w:sz w:val="28"/>
          <w:szCs w:val="28"/>
        </w:rPr>
        <w:t>функциональных коллективов (т.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736D">
        <w:rPr>
          <w:rFonts w:ascii="Times New Roman" w:hAnsi="Times New Roman" w:cs="Times New Roman"/>
          <w:sz w:val="28"/>
          <w:szCs w:val="28"/>
        </w:rPr>
        <w:t xml:space="preserve">е. по принципу методических объединений, но и </w:t>
      </w:r>
      <w:proofErr w:type="gramStart"/>
      <w:r w:rsidRPr="0079736D">
        <w:rPr>
          <w:rFonts w:ascii="Times New Roman" w:hAnsi="Times New Roman" w:cs="Times New Roman"/>
          <w:sz w:val="28"/>
          <w:szCs w:val="28"/>
        </w:rPr>
        <w:t>кросс-групп</w:t>
      </w:r>
      <w:proofErr w:type="gramEnd"/>
      <w:r w:rsidRPr="0079736D">
        <w:rPr>
          <w:rFonts w:ascii="Times New Roman" w:hAnsi="Times New Roman" w:cs="Times New Roman"/>
          <w:sz w:val="28"/>
          <w:szCs w:val="28"/>
        </w:rPr>
        <w:t>, в которые могут входить не только учителя, руководители разных уровней, педагоги дополнительного образования, представители родительской общественности и другие субъекты образовательного процесса).</w:t>
      </w:r>
    </w:p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При такой организации профессионального развития должны быть достигнуты следующие результаты:</w:t>
      </w:r>
    </w:p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1. Педагогический коллектив осознает значимость действий по переходу на новый к</w:t>
      </w:r>
      <w:r>
        <w:rPr>
          <w:rFonts w:ascii="Times New Roman" w:hAnsi="Times New Roman" w:cs="Times New Roman"/>
          <w:sz w:val="28"/>
          <w:szCs w:val="28"/>
        </w:rPr>
        <w:t>ачественный уровень образования.</w:t>
      </w:r>
    </w:p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2. Выработаны общие нормы коллективного взаимодействия при решении проблем внедрения ФГОС ООО.</w:t>
      </w:r>
    </w:p>
    <w:p w:rsidR="006A1B37" w:rsidRPr="0079736D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736D">
        <w:rPr>
          <w:rFonts w:ascii="Times New Roman" w:hAnsi="Times New Roman" w:cs="Times New Roman"/>
          <w:sz w:val="28"/>
          <w:szCs w:val="28"/>
        </w:rPr>
        <w:t>Освоены механизмы разрешения проблемных ситуаций, разработаны формы устранения конфликтов, которые могут возникать при переходе на новые ФГОС как системной инновации.</w:t>
      </w:r>
      <w:proofErr w:type="gramEnd"/>
    </w:p>
    <w:p w:rsidR="006A1B37" w:rsidRDefault="006A1B37" w:rsidP="006A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36D">
        <w:rPr>
          <w:rFonts w:ascii="Times New Roman" w:hAnsi="Times New Roman" w:cs="Times New Roman"/>
          <w:sz w:val="28"/>
          <w:szCs w:val="28"/>
        </w:rPr>
        <w:t>Таким образом, при переходе на ФГОС ОО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736D">
        <w:rPr>
          <w:rFonts w:ascii="Times New Roman" w:hAnsi="Times New Roman" w:cs="Times New Roman"/>
          <w:sz w:val="28"/>
          <w:szCs w:val="28"/>
        </w:rPr>
        <w:t xml:space="preserve"> главный результат профессионального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 и </w:t>
      </w:r>
      <w:r w:rsidRPr="0079736D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736D">
        <w:rPr>
          <w:rFonts w:ascii="Times New Roman" w:hAnsi="Times New Roman" w:cs="Times New Roman"/>
          <w:sz w:val="28"/>
          <w:szCs w:val="28"/>
        </w:rPr>
        <w:t>профессиональные и личностные изменения, возникшие в процессе повышения квалификации и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37" w:rsidRPr="00955943" w:rsidRDefault="006A1B37" w:rsidP="006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37" w:rsidRPr="00955943" w:rsidRDefault="006A1B37" w:rsidP="006A1B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43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6A1B37" w:rsidRDefault="006A1B37" w:rsidP="006A1B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17043">
        <w:rPr>
          <w:rFonts w:ascii="Times New Roman" w:hAnsi="Times New Roman" w:cs="Times New Roman"/>
          <w:bCs/>
          <w:sz w:val="28"/>
          <w:szCs w:val="28"/>
        </w:rPr>
        <w:t>Введение ФГОС основного общего образования как фактор модернизации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системы образования СК</w:t>
      </w:r>
      <w:r w:rsidRPr="00717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7043">
        <w:rPr>
          <w:rFonts w:ascii="Times New Roman" w:eastAsia="TimesNewRomanPSMT" w:hAnsi="Times New Roman" w:cs="Times New Roman"/>
          <w:sz w:val="28"/>
          <w:szCs w:val="28"/>
        </w:rPr>
        <w:t>/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r w:rsidRPr="00717043">
        <w:rPr>
          <w:rFonts w:ascii="Times New Roman" w:eastAsia="TimesNewRomanPSMT" w:hAnsi="Times New Roman" w:cs="Times New Roman"/>
          <w:sz w:val="28"/>
          <w:szCs w:val="28"/>
        </w:rPr>
        <w:t>од науч. ред. А.А. Волкова, д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717043">
        <w:rPr>
          <w:rFonts w:ascii="Times New Roman" w:eastAsia="TimesNewRomanPSMT" w:hAnsi="Times New Roman" w:cs="Times New Roman"/>
          <w:sz w:val="28"/>
          <w:szCs w:val="28"/>
        </w:rPr>
        <w:t>ра психол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717043">
        <w:rPr>
          <w:rFonts w:ascii="Times New Roman" w:eastAsia="TimesNewRomanPSMT" w:hAnsi="Times New Roman" w:cs="Times New Roman"/>
          <w:sz w:val="28"/>
          <w:szCs w:val="28"/>
        </w:rPr>
        <w:t xml:space="preserve"> наук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717043">
        <w:rPr>
          <w:rFonts w:ascii="Times New Roman" w:eastAsia="TimesNewRomanPSMT" w:hAnsi="Times New Roman" w:cs="Times New Roman"/>
          <w:sz w:val="28"/>
          <w:szCs w:val="28"/>
        </w:rPr>
        <w:t xml:space="preserve"> Ставрополь: ГБОУ ДПО СКИРО ПК и ПРО, 2012.</w:t>
      </w:r>
    </w:p>
    <w:p w:rsidR="006A1B37" w:rsidRPr="00717043" w:rsidRDefault="006A1B37" w:rsidP="006A1B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3">
        <w:rPr>
          <w:rFonts w:ascii="Times New Roman" w:hAnsi="Times New Roman" w:cs="Times New Roman"/>
          <w:sz w:val="28"/>
          <w:szCs w:val="28"/>
        </w:rPr>
        <w:t xml:space="preserve">2. </w:t>
      </w:r>
      <w:r w:rsidRPr="00CB10FF">
        <w:rPr>
          <w:rFonts w:ascii="Times New Roman" w:hAnsi="Times New Roman" w:cs="Times New Roman"/>
          <w:i/>
          <w:sz w:val="28"/>
          <w:szCs w:val="28"/>
        </w:rPr>
        <w:t>Кузнецова А.Г.</w:t>
      </w:r>
      <w:r w:rsidRPr="00717043">
        <w:rPr>
          <w:rFonts w:ascii="Times New Roman" w:hAnsi="Times New Roman" w:cs="Times New Roman"/>
          <w:sz w:val="28"/>
          <w:szCs w:val="28"/>
        </w:rPr>
        <w:t xml:space="preserve"> Создание и реализация уровневой модели повышения квалификации, ориентированной на обеспечение готовности педагогических и руководящих работников системы образования к введению ФГОС // Муниципальное образование: инновации и эксперимент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043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0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0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37" w:rsidRPr="00717043" w:rsidRDefault="006A1B37" w:rsidP="006A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3">
        <w:rPr>
          <w:rFonts w:ascii="Times New Roman" w:hAnsi="Times New Roman" w:cs="Times New Roman"/>
          <w:sz w:val="28"/>
          <w:szCs w:val="28"/>
        </w:rPr>
        <w:t xml:space="preserve">3. </w:t>
      </w:r>
      <w:r w:rsidRPr="00CD7A27">
        <w:rPr>
          <w:rFonts w:ascii="Times New Roman" w:hAnsi="Times New Roman" w:cs="Times New Roman"/>
          <w:i/>
          <w:sz w:val="28"/>
          <w:szCs w:val="28"/>
        </w:rPr>
        <w:t>Мансурова С.И.</w:t>
      </w:r>
      <w:r w:rsidRPr="00717043">
        <w:rPr>
          <w:rFonts w:ascii="Times New Roman" w:hAnsi="Times New Roman" w:cs="Times New Roman"/>
          <w:sz w:val="28"/>
          <w:szCs w:val="28"/>
        </w:rPr>
        <w:t xml:space="preserve"> Методическая служба в условиях введения государственных стандартов нового поколения // Методическая работа в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043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0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2.</w:t>
      </w:r>
      <w:r w:rsidRPr="0071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37" w:rsidRPr="00717043" w:rsidRDefault="006A1B37" w:rsidP="006A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3">
        <w:rPr>
          <w:rFonts w:ascii="Times New Roman" w:hAnsi="Times New Roman" w:cs="Times New Roman"/>
          <w:sz w:val="28"/>
          <w:szCs w:val="28"/>
        </w:rPr>
        <w:t>4. Презентация к выступлению проректора ФГАОУ ДПО «Академия повышения квалификации и профессиональной переподготовки работников образования» Надежды Дерзковой, представленная на заседании Координационного совета при Департаменте общего образования Минобрнауки России по вопросам организации введения ФГОС общего образования, состоявшемся 4 апреля 2012 г. в г. Иркутск.</w:t>
      </w:r>
      <w:r w:rsidRPr="00717043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17043">
        <w:rPr>
          <w:rFonts w:ascii="Times New Roman" w:hAnsi="Times New Roman" w:cs="Times New Roman"/>
          <w:sz w:val="28"/>
          <w:szCs w:val="28"/>
        </w:rPr>
        <w:t xml:space="preserve">: </w:t>
      </w:r>
      <w:r w:rsidRPr="00CD7A27">
        <w:rPr>
          <w:rFonts w:ascii="Times New Roman" w:hAnsi="Times New Roman" w:cs="Times New Roman"/>
          <w:sz w:val="28"/>
          <w:szCs w:val="28"/>
        </w:rPr>
        <w:t>http://www.gosbook.ru/node/54471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37" w:rsidRDefault="006A1B37" w:rsidP="006A1B37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A9C" w:rsidRDefault="00CF2A9C"/>
    <w:sectPr w:rsidR="00CF2A9C" w:rsidSect="00CF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0F1"/>
    <w:multiLevelType w:val="hybridMultilevel"/>
    <w:tmpl w:val="A64A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6A1B37"/>
    <w:rsid w:val="00031E50"/>
    <w:rsid w:val="00174A11"/>
    <w:rsid w:val="003D55ED"/>
    <w:rsid w:val="0051125E"/>
    <w:rsid w:val="006341A4"/>
    <w:rsid w:val="006A1B37"/>
    <w:rsid w:val="00C61A6D"/>
    <w:rsid w:val="00CF2A9C"/>
    <w:rsid w:val="00E55084"/>
    <w:rsid w:val="00F1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7"/>
  </w:style>
  <w:style w:type="paragraph" w:styleId="1">
    <w:name w:val="heading 1"/>
    <w:basedOn w:val="a"/>
    <w:next w:val="a"/>
    <w:link w:val="10"/>
    <w:uiPriority w:val="9"/>
    <w:qFormat/>
    <w:rsid w:val="006A1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1B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1A4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1B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uiPriority w:val="59"/>
    <w:rsid w:val="006A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7787</Characters>
  <Application>Microsoft Office Word</Application>
  <DocSecurity>0</DocSecurity>
  <Lines>64</Lines>
  <Paragraphs>18</Paragraphs>
  <ScaleCrop>false</ScaleCrop>
  <Company>НМЦ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2014-04-15T07:14:00Z</dcterms:created>
  <dcterms:modified xsi:type="dcterms:W3CDTF">2014-04-15T07:14:00Z</dcterms:modified>
</cp:coreProperties>
</file>